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7EF1ACA" w:rsidR="00FD2812" w:rsidRDefault="00BC2EC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Témakörök a 202</w:t>
      </w:r>
      <w:r w:rsidR="003C07D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C07DA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évi őszi érettségire </w:t>
      </w:r>
    </w:p>
    <w:p w14:paraId="00000002" w14:textId="77777777" w:rsidR="00FD2812" w:rsidRDefault="00FD281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FD2812" w:rsidRDefault="00BC2EC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IRODALOM</w:t>
      </w:r>
    </w:p>
    <w:p w14:paraId="00000004" w14:textId="77777777" w:rsidR="00FD2812" w:rsidRDefault="00FD281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5" w14:textId="77777777" w:rsidR="00FD2812" w:rsidRDefault="00BC2EC0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 Életművek. Művek a magyar irodalomból. Kötelező szerzők</w:t>
      </w:r>
    </w:p>
    <w:p w14:paraId="00000006" w14:textId="77777777" w:rsidR="00FD2812" w:rsidRDefault="00BC2EC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Vörösmarty Mihály: Csongor és Tünde, az emberi lét alapvető kérdéseire választ kereső mű</w:t>
      </w:r>
    </w:p>
    <w:p w14:paraId="00000007" w14:textId="77777777" w:rsidR="00FD2812" w:rsidRDefault="00BC2E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civilizáció és a Senki szigetének értékvilága Jókai Mór Az arany ember című művében</w:t>
      </w:r>
    </w:p>
    <w:p w14:paraId="00000008" w14:textId="77777777" w:rsidR="00FD2812" w:rsidRDefault="00BC2E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Mikszáth Kálmán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novellisztikájának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jellemzői néhány szabadon választott novella elemzésén keresztül</w:t>
      </w:r>
    </w:p>
    <w:p w14:paraId="00000009" w14:textId="77777777" w:rsidR="00FD2812" w:rsidRDefault="00BC2EC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Petőfi Sándor forradalmi és vátesz költészete</w:t>
      </w:r>
    </w:p>
    <w:p w14:paraId="0000000A" w14:textId="77777777" w:rsidR="00FD2812" w:rsidRDefault="00BC2EC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Tematikus, szerkezeti és formai változatosság Arany János balladaköltészetében</w:t>
      </w:r>
    </w:p>
    <w:p w14:paraId="0000000B" w14:textId="77777777" w:rsidR="00FD2812" w:rsidRDefault="00BC2EC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Ady Endre  ars poeticája</w:t>
      </w:r>
    </w:p>
    <w:p w14:paraId="0000000C" w14:textId="77777777" w:rsidR="00FD2812" w:rsidRDefault="00BC2E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Herczeg Ferenc jellemzői témái és műfajai </w:t>
      </w:r>
    </w:p>
    <w:p w14:paraId="0000000D" w14:textId="77777777" w:rsidR="00FD2812" w:rsidRDefault="00BC2EC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prófétaszerep vállalásának kérdése Babits Mihály költészetében </w:t>
      </w:r>
    </w:p>
    <w:p w14:paraId="0000000E" w14:textId="77777777" w:rsidR="00FD2812" w:rsidRDefault="00BC2EC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szerepjátszás lehetőségei Kosztolányi Dezső: A szegény kisgyermek panaszai című kötetében</w:t>
      </w:r>
    </w:p>
    <w:p w14:paraId="0000000F" w14:textId="77777777" w:rsidR="00FD2812" w:rsidRDefault="00BC2EC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József Attila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szerelmi költészete</w:t>
      </w:r>
    </w:p>
    <w:p w14:paraId="00000010" w14:textId="77777777" w:rsidR="00FD2812" w:rsidRDefault="00FD281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1" w14:textId="77777777" w:rsidR="00FD2812" w:rsidRDefault="00BC2EC0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II. Szerzők, művek, korszakok a régi magyar irodalomból, a 16-18. századból. Választható szerzők </w:t>
      </w:r>
    </w:p>
    <w:p w14:paraId="00000012" w14:textId="77777777" w:rsidR="00FD2812" w:rsidRDefault="00BC2E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barokk eposz jellemzői Zrínyi Miklós Szigeti veszedelem című   művében </w:t>
      </w:r>
    </w:p>
    <w:p w14:paraId="00000013" w14:textId="77777777" w:rsidR="00FD2812" w:rsidRDefault="00FD28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14" w14:textId="77777777" w:rsidR="00FD2812" w:rsidRDefault="00BC2EC0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III. Portrék, metszetek, látásmódok a 19-20. század magyar irodalmából. Választható szerzők </w:t>
      </w:r>
    </w:p>
    <w:p w14:paraId="00000015" w14:textId="77777777" w:rsidR="00FD2812" w:rsidRPr="00BC2EC0" w:rsidRDefault="00BC2EC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EC0">
        <w:rPr>
          <w:rFonts w:ascii="Times New Roman" w:eastAsia="Times New Roman" w:hAnsi="Times New Roman" w:cs="Times New Roman"/>
          <w:sz w:val="24"/>
          <w:szCs w:val="24"/>
        </w:rPr>
        <w:t>Újszerű parasztábrázolás Móricz Zsigmond novelláiban</w:t>
      </w:r>
    </w:p>
    <w:p w14:paraId="00000016" w14:textId="77777777" w:rsidR="00FD2812" w:rsidRDefault="00BC2E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Idill és halál témája Radnóti Miklós költészetében</w:t>
      </w:r>
    </w:p>
    <w:p w14:paraId="00000017" w14:textId="77777777" w:rsidR="00FD2812" w:rsidRDefault="00BC2EC0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IV. Metszetek a 20. századi délvidéki, erdélyi, felvidéki, kárpátaljai irodalomból </w:t>
      </w:r>
    </w:p>
    <w:p w14:paraId="00000018" w14:textId="77777777" w:rsidR="00FD2812" w:rsidRDefault="00BC2E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hagyomány és újítás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Kányádi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Sándor költészetében </w:t>
      </w:r>
    </w:p>
    <w:p w14:paraId="00000019" w14:textId="77777777" w:rsidR="00FD2812" w:rsidRDefault="00BC2EC0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V. Művek a kortárs magyar irodalomból </w:t>
      </w:r>
    </w:p>
    <w:p w14:paraId="0000001A" w14:textId="77777777" w:rsidR="00FD2812" w:rsidRDefault="00BC2E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Változatok azonos formára – József Attila: Születésnapomra című versének parafrázisai (pl. Kovács András Ferenc,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Lackfi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János, Tóth Krisztina, Varró Dániel)</w:t>
      </w:r>
    </w:p>
    <w:p w14:paraId="0000001B" w14:textId="77777777" w:rsidR="00FD2812" w:rsidRDefault="00FD28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C" w14:textId="77777777" w:rsidR="00FD2812" w:rsidRDefault="00BC2EC0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VI. Művek a világirodalomból</w:t>
      </w:r>
    </w:p>
    <w:p w14:paraId="0000001D" w14:textId="77777777" w:rsidR="00FD2812" w:rsidRDefault="00BC2E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Hőstípusok a homéroszi eposzokban</w:t>
      </w:r>
    </w:p>
    <w:p w14:paraId="0000001E" w14:textId="77777777" w:rsidR="00FD2812" w:rsidRDefault="00BC2E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francia szimbolizmus jellemzői</w:t>
      </w:r>
    </w:p>
    <w:p w14:paraId="0000001F" w14:textId="77777777" w:rsidR="00FD2812" w:rsidRDefault="00FD28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0" w14:textId="77777777" w:rsidR="00FD2812" w:rsidRDefault="00BC2EC0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VII. Színház és dráma </w:t>
      </w:r>
    </w:p>
    <w:p w14:paraId="00000022" w14:textId="0F458B8B" w:rsidR="00FD2812" w:rsidRPr="00BC2EC0" w:rsidRDefault="00BC2EC0" w:rsidP="00BC2E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2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Értelmezési lehetőségek Shakespeare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Rómeó és Júlia vagy Hamlet című</w:t>
      </w:r>
      <w:r w:rsidRPr="00BC2E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drámájában </w:t>
      </w:r>
    </w:p>
    <w:p w14:paraId="00000023" w14:textId="77777777" w:rsidR="00FD2812" w:rsidRPr="00BC2EC0" w:rsidRDefault="00BC2EC0" w:rsidP="00BC2E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2EC0">
        <w:rPr>
          <w:rFonts w:ascii="Times New Roman" w:eastAsia="Times New Roman" w:hAnsi="Times New Roman" w:cs="Times New Roman"/>
          <w:color w:val="000000"/>
          <w:sz w:val="24"/>
          <w:szCs w:val="24"/>
        </w:rPr>
        <w:t>Az emberiség nagy kérdései Madách Imre Az ember tragédiája című művében</w:t>
      </w:r>
    </w:p>
    <w:p w14:paraId="00000024" w14:textId="77777777" w:rsidR="00FD2812" w:rsidRDefault="00FD281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5" w14:textId="77777777" w:rsidR="00FD2812" w:rsidRDefault="00BC2EC0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VIII. Az irodalom határterületei</w:t>
      </w:r>
    </w:p>
    <w:p w14:paraId="00000026" w14:textId="7E97F386" w:rsidR="00FD2812" w:rsidRDefault="00BC2EC0">
      <w:pPr>
        <w:numPr>
          <w:ilvl w:val="0"/>
          <w:numId w:val="3"/>
        </w:num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3C07DA">
        <w:rPr>
          <w:rFonts w:ascii="Times New Roman" w:eastAsia="Times New Roman" w:hAnsi="Times New Roman" w:cs="Times New Roman"/>
          <w:sz w:val="24"/>
          <w:szCs w:val="24"/>
        </w:rPr>
        <w:t>paródia a magyar irodalomban</w:t>
      </w:r>
      <w:bookmarkStart w:id="0" w:name="_GoBack"/>
      <w:bookmarkEnd w:id="0"/>
    </w:p>
    <w:p w14:paraId="00000027" w14:textId="77777777" w:rsidR="00FD2812" w:rsidRDefault="00BC2EC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page"/>
      </w:r>
    </w:p>
    <w:p w14:paraId="272A4AAD" w14:textId="77777777" w:rsidR="003C07DA" w:rsidRDefault="003C07DA" w:rsidP="003C07D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Témakörök a 2026/2027. évi őszi érettségire </w:t>
      </w:r>
    </w:p>
    <w:p w14:paraId="00000029" w14:textId="77777777" w:rsidR="00FD2812" w:rsidRDefault="00FD281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A" w14:textId="77777777" w:rsidR="00FD2812" w:rsidRDefault="00BC2EC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NYELVTAN</w:t>
      </w:r>
    </w:p>
    <w:p w14:paraId="0000002B" w14:textId="77777777" w:rsidR="00FD2812" w:rsidRDefault="00FD281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C" w14:textId="77777777" w:rsidR="00FD2812" w:rsidRDefault="00BC2E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Kommunikáció </w:t>
      </w:r>
    </w:p>
    <w:p w14:paraId="0000002D" w14:textId="631A1F14" w:rsidR="00FD2812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kommunikációs folyamat tényezőinek, céljának, funkcióinak, valamint ezek összefüggésének megértése, bizonyítása beszédhelyzetek elemzésével, szövegértelmezéssel, szövegalkotással</w:t>
      </w:r>
    </w:p>
    <w:p w14:paraId="0000002E" w14:textId="0D1B4F1E" w:rsidR="00FD2812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Az emberi kommunikáció nem nyelvi jelei és kifejezőeszközei (pl. gesztusok, mimika, térközszabályozás, tekintet, külső megjelenés, testtartás, fejtartás, csend)</w:t>
      </w:r>
    </w:p>
    <w:p w14:paraId="0000002F" w14:textId="77777777" w:rsidR="00FD2812" w:rsidRPr="00BC2EC0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2EC0">
        <w:rPr>
          <w:rFonts w:ascii="Times New Roman" w:eastAsia="Times New Roman" w:hAnsi="Times New Roman" w:cs="Times New Roman"/>
          <w:color w:val="000000"/>
          <w:sz w:val="24"/>
          <w:szCs w:val="24"/>
        </w:rPr>
        <w:t>A reklámok funkciója, működése, hatása</w:t>
      </w:r>
    </w:p>
    <w:p w14:paraId="00000030" w14:textId="77777777" w:rsidR="00FD2812" w:rsidRDefault="00BC2E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 magyar nyelv története </w:t>
      </w:r>
    </w:p>
    <w:p w14:paraId="00000031" w14:textId="086C5284" w:rsidR="00FD2812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nyelvtörténet forrásai: kézírásos és nyomtatott nyelvemlékek (pl. A tihanyi apátság alapítólevele, Halotti beszéd és könyörgés, Ómagyar Mária-siralom)</w:t>
      </w:r>
    </w:p>
    <w:p w14:paraId="00000032" w14:textId="77777777" w:rsidR="00FD2812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magyar nyelv rokonsága</w:t>
      </w:r>
    </w:p>
    <w:p w14:paraId="00000033" w14:textId="77777777" w:rsidR="00FD2812" w:rsidRDefault="00BC2E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Ember és nyelvhasználat </w:t>
      </w:r>
    </w:p>
    <w:p w14:paraId="00000034" w14:textId="4E6DA40E" w:rsidR="00FD2812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Anyanyelvünk rétegződése I. A köznyelvi változatok, a csoportnyelvek és a rétegnyelvek</w:t>
      </w:r>
    </w:p>
    <w:p w14:paraId="00000035" w14:textId="77777777" w:rsidR="00FD2812" w:rsidRPr="00BC2EC0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2EC0">
        <w:rPr>
          <w:rFonts w:ascii="Times New Roman" w:eastAsia="Times New Roman" w:hAnsi="Times New Roman" w:cs="Times New Roman"/>
          <w:color w:val="000000"/>
          <w:sz w:val="24"/>
          <w:szCs w:val="24"/>
        </w:rPr>
        <w:t>Anyanyelvünk rétegződése. A nyelvjárások és a nyelvi norma</w:t>
      </w:r>
    </w:p>
    <w:p w14:paraId="00000036" w14:textId="77777777" w:rsidR="00FD2812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Egynyelvű szótárak</w:t>
      </w:r>
    </w:p>
    <w:p w14:paraId="00000037" w14:textId="77777777" w:rsidR="00FD2812" w:rsidRDefault="00BC2EC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V.  A nyelvi rendszer </w:t>
      </w:r>
    </w:p>
    <w:p w14:paraId="00000038" w14:textId="4990172D" w:rsidR="00FD2812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hangkapcsolódási szabályosságok típusai és a helyesírás összefüggése</w:t>
      </w:r>
    </w:p>
    <w:p w14:paraId="00000039" w14:textId="265804AE" w:rsidR="00FD2812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magyar nyelv szófaji rendszere: az alapszófajok, a viszonyszók és a mondatszók</w:t>
      </w:r>
    </w:p>
    <w:p w14:paraId="0000003A" w14:textId="5840F1D9" w:rsidR="00FD2812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mondatrészek fogalma, fajtái, felismerésük mondatban, helyes használatuk a mondatok felépítésében (állítmány, alany, tárgy, határozó, jelző)</w:t>
      </w:r>
    </w:p>
    <w:p w14:paraId="0000003B" w14:textId="77777777" w:rsidR="00FD2812" w:rsidRDefault="00BC2EC0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V. A szöveg </w:t>
      </w:r>
    </w:p>
    <w:p w14:paraId="0000003C" w14:textId="39373D0D" w:rsidR="00FD2812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szövegfonetikai eszközök (hangsúly, hanglejtés, hangerő, szünet, beszédtempó) és az írásjelek helyes, kifejező alkalmazása</w:t>
      </w:r>
    </w:p>
    <w:p w14:paraId="0000003D" w14:textId="173CFD10" w:rsidR="00FD2812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továbbtanuláshoz, illetve a munka világában szükséges szövegtípusok: különböző típusú önéletrajzok, motivációs levél; különböző témájú hivatalos levelek (pl. panaszos levél, kérvény), rövid, alkalmi beszéd</w:t>
      </w:r>
    </w:p>
    <w:p w14:paraId="0000003E" w14:textId="77777777" w:rsidR="00FD2812" w:rsidRDefault="00BC2EC0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VI. A retorika alapjai </w:t>
      </w:r>
    </w:p>
    <w:p w14:paraId="0000003F" w14:textId="049B40BF" w:rsidR="00FD2812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beszéd felépítése, a beszéd megszerkesztésének menete az anyaggyűjtéstől a megszólalásig</w:t>
      </w:r>
    </w:p>
    <w:p w14:paraId="00000040" w14:textId="77777777" w:rsidR="00FD2812" w:rsidRPr="00BC2EC0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2EC0">
        <w:rPr>
          <w:rFonts w:ascii="Times New Roman" w:eastAsia="Times New Roman" w:hAnsi="Times New Roman" w:cs="Times New Roman"/>
          <w:color w:val="000000"/>
          <w:sz w:val="24"/>
          <w:szCs w:val="24"/>
        </w:rPr>
        <w:t>Az érvelés műfajai: a tétel, a bizonyítás, a cáfolat, az érv és az ellenérv</w:t>
      </w:r>
    </w:p>
    <w:p w14:paraId="00000041" w14:textId="1B390F6F" w:rsidR="00FD2812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hatásos előadásmód eszközei</w:t>
      </w:r>
    </w:p>
    <w:p w14:paraId="00000042" w14:textId="77777777" w:rsidR="00FD2812" w:rsidRDefault="00BC2EC0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VII. Stílus és jelentés </w:t>
      </w:r>
    </w:p>
    <w:p w14:paraId="00000043" w14:textId="77777777" w:rsidR="00FD2812" w:rsidRPr="00BC2EC0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2EC0">
        <w:rPr>
          <w:rFonts w:ascii="Times New Roman" w:eastAsia="Times New Roman" w:hAnsi="Times New Roman" w:cs="Times New Roman"/>
          <w:color w:val="000000"/>
          <w:sz w:val="24"/>
          <w:szCs w:val="24"/>
        </w:rPr>
        <w:t>A jellegzetes stílusárnyalatok megismerése, felismerése, hatásának elemzése</w:t>
      </w:r>
    </w:p>
    <w:p w14:paraId="00000044" w14:textId="02B9B559" w:rsidR="00FD2812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Egyjelentésű, többjelentésű szó, homonima, szinonima, hasonló alakú szópár, ellentétes jelentés</w:t>
      </w:r>
    </w:p>
    <w:p w14:paraId="00000045" w14:textId="1678BE06" w:rsidR="00FD2812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Szóképek: hasonlat, metafora, megszemélyesítés, szinesztézia, metonímia, szinekdoché; összetett szóképek: allegória, szimbólum felismerése, elemzése és értelmezése szépirodalmi és egyéb szövegekben</w:t>
      </w:r>
    </w:p>
    <w:p w14:paraId="00000047" w14:textId="77777777" w:rsidR="00FD2812" w:rsidRDefault="00BC2EC0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rgpdjwxmjivu" w:colFirst="0" w:colLast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VIII. Digitális kommunikáció </w:t>
      </w:r>
    </w:p>
    <w:p w14:paraId="00000048" w14:textId="7A2A958F" w:rsidR="00FD2812" w:rsidRPr="00BC2EC0" w:rsidRDefault="00BC2E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2EC0">
        <w:rPr>
          <w:rFonts w:ascii="Times New Roman" w:eastAsia="Times New Roman" w:hAnsi="Times New Roman" w:cs="Times New Roman"/>
          <w:color w:val="000000"/>
          <w:sz w:val="24"/>
          <w:szCs w:val="24"/>
        </w:rPr>
        <w:t>Az internetes szövegek jellemzői, az írott és internetes szövegek összehasonlítása, az eltérő és azonos jegyek megfigyelése, megnevezése</w:t>
      </w:r>
    </w:p>
    <w:sectPr w:rsidR="00FD2812" w:rsidRPr="00BC2EC0">
      <w:pgSz w:w="11906" w:h="16838"/>
      <w:pgMar w:top="568" w:right="720" w:bottom="1418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B0FD7"/>
    <w:multiLevelType w:val="multilevel"/>
    <w:tmpl w:val="CB2E36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546D3"/>
    <w:multiLevelType w:val="multilevel"/>
    <w:tmpl w:val="C194CCE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67FCF"/>
    <w:multiLevelType w:val="multilevel"/>
    <w:tmpl w:val="EB2ED4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812"/>
    <w:rsid w:val="003C07DA"/>
    <w:rsid w:val="00BC2EC0"/>
    <w:rsid w:val="00FD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6DF86"/>
  <w15:docId w15:val="{755C6178-25C5-4986-97B4-69058F3A2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Szigeti Andrea</dc:creator>
  <cp:lastModifiedBy>Szigeti Andrea</cp:lastModifiedBy>
  <cp:revision>2</cp:revision>
  <dcterms:created xsi:type="dcterms:W3CDTF">2026-10-01T09:21:00Z</dcterms:created>
  <dcterms:modified xsi:type="dcterms:W3CDTF">2026-10-01T09:21:00Z</dcterms:modified>
</cp:coreProperties>
</file>