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B1D66" w14:textId="6BDF8979" w:rsidR="007A0EA7" w:rsidRDefault="007A0EA7" w:rsidP="005F0610">
      <w:pPr>
        <w:pStyle w:val="NormlWeb"/>
        <w:spacing w:line="276" w:lineRule="auto"/>
        <w:jc w:val="center"/>
        <w:rPr>
          <w:rFonts w:ascii="Franklin Gothic Book" w:hAnsi="Franklin Gothic Book"/>
          <w:color w:val="FF0000"/>
          <w:sz w:val="20"/>
          <w:szCs w:val="20"/>
        </w:rPr>
      </w:pPr>
      <w:r w:rsidRPr="00CD4DAC">
        <w:rPr>
          <w:rFonts w:ascii="Franklin Gothic Book" w:hAnsi="Franklin Gothic Book"/>
          <w:sz w:val="20"/>
          <w:szCs w:val="20"/>
        </w:rPr>
        <w:t>Adatkezelési tájékoztató</w:t>
      </w:r>
      <w:r w:rsidR="00565883" w:rsidRPr="00565883">
        <w:rPr>
          <w:rFonts w:ascii="Franklin Gothic Book" w:hAnsi="Franklin Gothic Book"/>
          <w:color w:val="FF0000"/>
          <w:sz w:val="20"/>
          <w:szCs w:val="20"/>
        </w:rPr>
        <w:t xml:space="preserve"> </w:t>
      </w:r>
    </w:p>
    <w:p w14:paraId="79A9E3B6" w14:textId="77777777" w:rsidR="005F0610" w:rsidRPr="00CD4DAC" w:rsidRDefault="005F0610" w:rsidP="005F0610">
      <w:pPr>
        <w:pStyle w:val="NormlWeb"/>
        <w:spacing w:line="276" w:lineRule="auto"/>
        <w:jc w:val="center"/>
        <w:rPr>
          <w:rFonts w:ascii="Franklin Gothic Book" w:hAnsi="Franklin Gothic Book"/>
          <w:sz w:val="20"/>
          <w:szCs w:val="20"/>
        </w:rPr>
      </w:pPr>
    </w:p>
    <w:p w14:paraId="36037EA3" w14:textId="0591A798" w:rsidR="007A0EA7" w:rsidRDefault="008368C7" w:rsidP="007A0EA7">
      <w:pPr>
        <w:pStyle w:val="NormlWeb"/>
        <w:spacing w:line="276" w:lineRule="auto"/>
        <w:jc w:val="center"/>
        <w:rPr>
          <w:rFonts w:ascii="Franklin Gothic Book" w:hAnsi="Franklin Gothic Book"/>
          <w:sz w:val="20"/>
          <w:szCs w:val="20"/>
        </w:rPr>
      </w:pPr>
      <w:proofErr w:type="gramStart"/>
      <w:r>
        <w:rPr>
          <w:rFonts w:ascii="Franklin Gothic Book" w:hAnsi="Franklin Gothic Book"/>
          <w:sz w:val="20"/>
          <w:szCs w:val="20"/>
        </w:rPr>
        <w:t>a</w:t>
      </w:r>
      <w:proofErr w:type="gramEnd"/>
      <w:r>
        <w:rPr>
          <w:rFonts w:ascii="Franklin Gothic Book" w:hAnsi="Franklin Gothic Book"/>
          <w:sz w:val="20"/>
          <w:szCs w:val="20"/>
        </w:rPr>
        <w:t xml:space="preserve"> BMSZC Trefort Ágoston Két Tanítási Technikum</w:t>
      </w:r>
      <w:r w:rsidR="007A0EA7" w:rsidRPr="00CD4DAC">
        <w:rPr>
          <w:rFonts w:ascii="Franklin Gothic Book" w:hAnsi="Franklin Gothic Book"/>
          <w:sz w:val="20"/>
          <w:szCs w:val="20"/>
        </w:rPr>
        <w:t xml:space="preserve"> </w:t>
      </w:r>
    </w:p>
    <w:p w14:paraId="3FD72A0A" w14:textId="77777777" w:rsidR="005F0610" w:rsidRPr="00CD4DAC" w:rsidRDefault="005F0610" w:rsidP="007A0EA7">
      <w:pPr>
        <w:pStyle w:val="NormlWeb"/>
        <w:spacing w:line="276" w:lineRule="auto"/>
        <w:jc w:val="center"/>
        <w:rPr>
          <w:rFonts w:ascii="Franklin Gothic Book" w:hAnsi="Franklin Gothic Book"/>
          <w:sz w:val="20"/>
          <w:szCs w:val="20"/>
        </w:rPr>
      </w:pPr>
      <w:bookmarkStart w:id="0" w:name="_GoBack"/>
      <w:bookmarkEnd w:id="0"/>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56753C64" w:rsidR="007A0EA7" w:rsidRPr="005F0610" w:rsidRDefault="00CD4DAC" w:rsidP="007A0EA7">
      <w:pPr>
        <w:pStyle w:val="NormlWeb"/>
        <w:spacing w:line="276" w:lineRule="auto"/>
        <w:rPr>
          <w:rFonts w:ascii="Franklin Gothic Book" w:hAnsi="Franklin Gothic Book"/>
          <w:sz w:val="20"/>
          <w:szCs w:val="20"/>
        </w:rPr>
      </w:pPr>
      <w:r w:rsidRPr="005F0610">
        <w:rPr>
          <w:rFonts w:ascii="Franklin Gothic Book" w:hAnsi="Franklin Gothic Book"/>
          <w:sz w:val="20"/>
          <w:szCs w:val="20"/>
        </w:rPr>
        <w:t>Név</w:t>
      </w:r>
      <w:r w:rsidR="005F0610" w:rsidRPr="005F0610">
        <w:rPr>
          <w:rFonts w:ascii="Franklin Gothic Book" w:hAnsi="Franklin Gothic Book"/>
          <w:sz w:val="20"/>
          <w:szCs w:val="20"/>
        </w:rPr>
        <w:t>: BMSZC Trefort Ágoston Két Tanítási Nyelvű Technikum</w:t>
      </w:r>
    </w:p>
    <w:p w14:paraId="3A5E6885" w14:textId="505191FE" w:rsidR="007A0EA7" w:rsidRPr="005F0610" w:rsidRDefault="007A0EA7" w:rsidP="007A0EA7">
      <w:pPr>
        <w:pStyle w:val="NormlWeb"/>
        <w:spacing w:line="276" w:lineRule="auto"/>
        <w:rPr>
          <w:rFonts w:ascii="Franklin Gothic Book" w:hAnsi="Franklin Gothic Book"/>
          <w:sz w:val="20"/>
          <w:szCs w:val="20"/>
        </w:rPr>
      </w:pPr>
      <w:r w:rsidRPr="005F0610">
        <w:rPr>
          <w:rFonts w:ascii="Franklin Gothic Book" w:hAnsi="Franklin Gothic Book"/>
          <w:sz w:val="20"/>
          <w:szCs w:val="20"/>
        </w:rPr>
        <w:t xml:space="preserve">Székhely: </w:t>
      </w:r>
      <w:r w:rsidR="005F0610" w:rsidRPr="005F0610">
        <w:rPr>
          <w:rFonts w:ascii="Franklin Gothic Book" w:hAnsi="Franklin Gothic Book"/>
          <w:sz w:val="20"/>
          <w:szCs w:val="20"/>
        </w:rPr>
        <w:t>1191 Budapest, Kossuth tér 12</w:t>
      </w:r>
      <w:r w:rsidR="005F0610">
        <w:rPr>
          <w:rFonts w:ascii="Franklin Gothic Book" w:hAnsi="Franklin Gothic Book"/>
          <w:sz w:val="20"/>
          <w:szCs w:val="20"/>
        </w:rPr>
        <w:t>.</w:t>
      </w:r>
    </w:p>
    <w:p w14:paraId="52DC8477" w14:textId="645A9DA1" w:rsidR="007A0EA7" w:rsidRPr="005F0610" w:rsidRDefault="007A0EA7" w:rsidP="007A0EA7">
      <w:pPr>
        <w:pStyle w:val="NormlWeb"/>
        <w:spacing w:line="276" w:lineRule="auto"/>
        <w:rPr>
          <w:rFonts w:ascii="Franklin Gothic Book" w:hAnsi="Franklin Gothic Book"/>
          <w:sz w:val="20"/>
          <w:szCs w:val="20"/>
        </w:rPr>
      </w:pPr>
      <w:r w:rsidRPr="005F0610">
        <w:rPr>
          <w:rFonts w:ascii="Franklin Gothic Book" w:hAnsi="Franklin Gothic Book"/>
          <w:sz w:val="20"/>
          <w:szCs w:val="20"/>
        </w:rPr>
        <w:t>Postacím</w:t>
      </w:r>
      <w:r w:rsidR="005F0610">
        <w:rPr>
          <w:rFonts w:ascii="Franklin Gothic Book" w:hAnsi="Franklin Gothic Book"/>
          <w:sz w:val="20"/>
          <w:szCs w:val="20"/>
        </w:rPr>
        <w:t>:</w:t>
      </w:r>
      <w:r w:rsidR="005F0610" w:rsidRPr="005F0610">
        <w:rPr>
          <w:rFonts w:ascii="Franklin Gothic Book" w:hAnsi="Franklin Gothic Book"/>
          <w:sz w:val="20"/>
          <w:szCs w:val="20"/>
        </w:rPr>
        <w:t xml:space="preserve"> </w:t>
      </w:r>
      <w:r w:rsidR="005F0610" w:rsidRPr="005F0610">
        <w:rPr>
          <w:rFonts w:ascii="Franklin Gothic Book" w:hAnsi="Franklin Gothic Book"/>
          <w:sz w:val="20"/>
          <w:szCs w:val="20"/>
        </w:rPr>
        <w:t>1191 Budapest, Kossuth tér 12</w:t>
      </w:r>
      <w:r w:rsidR="005F0610">
        <w:rPr>
          <w:rFonts w:ascii="Franklin Gothic Book" w:hAnsi="Franklin Gothic Book"/>
          <w:sz w:val="20"/>
          <w:szCs w:val="20"/>
        </w:rPr>
        <w:t>.</w:t>
      </w:r>
    </w:p>
    <w:p w14:paraId="70D2B460" w14:textId="4C169821" w:rsidR="007A0EA7" w:rsidRPr="005F0610" w:rsidRDefault="007A0EA7" w:rsidP="007A0EA7">
      <w:pPr>
        <w:pStyle w:val="NormlWeb"/>
        <w:spacing w:line="276" w:lineRule="auto"/>
        <w:rPr>
          <w:rFonts w:ascii="Franklin Gothic Book" w:hAnsi="Franklin Gothic Book"/>
          <w:sz w:val="20"/>
          <w:szCs w:val="20"/>
        </w:rPr>
      </w:pPr>
      <w:r w:rsidRPr="005F0610">
        <w:rPr>
          <w:rFonts w:ascii="Franklin Gothic Book" w:hAnsi="Franklin Gothic Book"/>
          <w:sz w:val="20"/>
          <w:szCs w:val="20"/>
        </w:rPr>
        <w:t>Telefon:</w:t>
      </w:r>
      <w:r w:rsidR="005F0610" w:rsidRPr="005F0610">
        <w:rPr>
          <w:rFonts w:ascii="Franklin Gothic Book" w:hAnsi="Franklin Gothic Book"/>
          <w:sz w:val="20"/>
          <w:szCs w:val="20"/>
        </w:rPr>
        <w:t xml:space="preserve"> 061 </w:t>
      </w:r>
      <w:proofErr w:type="gramStart"/>
      <w:r w:rsidR="005F0610" w:rsidRPr="005F0610">
        <w:rPr>
          <w:rFonts w:ascii="Franklin Gothic Book" w:hAnsi="Franklin Gothic Book"/>
          <w:sz w:val="20"/>
          <w:szCs w:val="20"/>
        </w:rPr>
        <w:t>347-4030</w:t>
      </w:r>
      <w:r w:rsidRPr="005F0610">
        <w:rPr>
          <w:rFonts w:ascii="Franklin Gothic Book" w:hAnsi="Franklin Gothic Book"/>
          <w:sz w:val="20"/>
          <w:szCs w:val="20"/>
        </w:rPr>
        <w:t xml:space="preserve"> </w:t>
      </w:r>
      <w:r w:rsidR="005F0610">
        <w:rPr>
          <w:rFonts w:ascii="Franklin Gothic Book" w:hAnsi="Franklin Gothic Book"/>
          <w:sz w:val="20"/>
          <w:szCs w:val="20"/>
        </w:rPr>
        <w:t>.</w:t>
      </w:r>
      <w:proofErr w:type="gramEnd"/>
    </w:p>
    <w:p w14:paraId="5E5EBD56" w14:textId="5631BCCB" w:rsidR="007A0EA7" w:rsidRPr="005F0610" w:rsidRDefault="007A0EA7" w:rsidP="007A0EA7">
      <w:pPr>
        <w:pStyle w:val="NormlWeb"/>
        <w:spacing w:line="276" w:lineRule="auto"/>
        <w:rPr>
          <w:rFonts w:ascii="Franklin Gothic Book" w:hAnsi="Franklin Gothic Book"/>
          <w:sz w:val="20"/>
          <w:szCs w:val="20"/>
        </w:rPr>
      </w:pPr>
      <w:r w:rsidRPr="005F0610">
        <w:rPr>
          <w:rFonts w:ascii="Franklin Gothic Book" w:hAnsi="Franklin Gothic Book"/>
          <w:sz w:val="20"/>
          <w:szCs w:val="20"/>
        </w:rPr>
        <w:t xml:space="preserve">E-mail cím: </w:t>
      </w:r>
      <w:r w:rsidR="005F0610" w:rsidRPr="005F0610">
        <w:rPr>
          <w:rFonts w:ascii="Franklin Gothic Book" w:hAnsi="Franklin Gothic Book"/>
          <w:sz w:val="20"/>
          <w:szCs w:val="20"/>
        </w:rPr>
        <w:t>titkarsag@trefortszki.hu</w:t>
      </w:r>
      <w:hyperlink r:id="rId8" w:history="1">
        <w:proofErr w:type="gramStart"/>
        <w:r w:rsidR="00CD4DAC" w:rsidRPr="005F0610">
          <w:rPr>
            <w:rStyle w:val="Hiperhivatkozs"/>
            <w:rFonts w:ascii="Franklin Gothic Book" w:hAnsi="Franklin Gothic Book"/>
            <w:sz w:val="20"/>
            <w:szCs w:val="20"/>
          </w:rPr>
          <w:t>……………………………………………………</w:t>
        </w:r>
        <w:proofErr w:type="gramEnd"/>
      </w:hyperlink>
    </w:p>
    <w:p w14:paraId="53B3E64A" w14:textId="08A85FD1" w:rsidR="005F0610" w:rsidRPr="005F0610" w:rsidRDefault="007A0EA7" w:rsidP="005F0610">
      <w:pPr>
        <w:pStyle w:val="NormlWeb"/>
        <w:spacing w:line="276" w:lineRule="auto"/>
        <w:rPr>
          <w:rFonts w:ascii="Franklin Gothic Book" w:hAnsi="Franklin Gothic Book"/>
          <w:sz w:val="20"/>
          <w:szCs w:val="20"/>
        </w:rPr>
      </w:pPr>
      <w:r w:rsidRPr="005F0610">
        <w:rPr>
          <w:rFonts w:ascii="Franklin Gothic Book" w:hAnsi="Franklin Gothic Book"/>
          <w:sz w:val="20"/>
          <w:szCs w:val="20"/>
        </w:rPr>
        <w:t xml:space="preserve">Az adatvédelmi tisztviselő elérhetősége: </w:t>
      </w:r>
      <w:r w:rsidR="005F0610" w:rsidRPr="005F0610">
        <w:rPr>
          <w:rFonts w:ascii="Franklin Gothic Book" w:hAnsi="Franklin Gothic Book"/>
          <w:sz w:val="20"/>
          <w:szCs w:val="20"/>
        </w:rPr>
        <w:t>Varsóci Károly</w:t>
      </w:r>
      <w:r w:rsidR="005F0610" w:rsidRPr="005F0610">
        <w:rPr>
          <w:rFonts w:ascii="Franklin Gothic Book" w:hAnsi="Franklin Gothic Book"/>
          <w:sz w:val="20"/>
          <w:szCs w:val="20"/>
        </w:rPr>
        <w:t xml:space="preserve"> igazgató, (</w:t>
      </w:r>
      <w:hyperlink r:id="rId9" w:history="1">
        <w:r w:rsidR="005F0610" w:rsidRPr="005F0610">
          <w:rPr>
            <w:rStyle w:val="Hiperhivatkozs"/>
            <w:rFonts w:ascii="Franklin Gothic Book" w:hAnsi="Franklin Gothic Book"/>
            <w:color w:val="auto"/>
            <w:sz w:val="20"/>
            <w:szCs w:val="20"/>
          </w:rPr>
          <w:t>varsoci.karoly@trefortszki.hu</w:t>
        </w:r>
      </w:hyperlink>
      <w:r w:rsidR="005F0610" w:rsidRPr="005F0610">
        <w:rPr>
          <w:rFonts w:ascii="Franklin Gothic Book" w:hAnsi="Franklin Gothic Book"/>
          <w:sz w:val="20"/>
          <w:szCs w:val="20"/>
        </w:rPr>
        <w:t>, 061347-4030)</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248BA504" w14:textId="7845698A" w:rsidR="009C5B46" w:rsidRPr="009C5B46" w:rsidRDefault="009C5B46" w:rsidP="009C5B46">
      <w:pPr>
        <w:pStyle w:val="Listaszerbekezds"/>
        <w:numPr>
          <w:ilvl w:val="0"/>
          <w:numId w:val="31"/>
        </w:numPr>
        <w:spacing w:after="28" w:line="260" w:lineRule="auto"/>
        <w:ind w:right="14"/>
        <w:jc w:val="both"/>
        <w:rPr>
          <w:rFonts w:ascii="Times New Roman" w:eastAsia="Times New Roman" w:hAnsi="Times New Roman" w:cs="Times New Roman"/>
        </w:rPr>
      </w:pPr>
      <w:r>
        <w:rPr>
          <w:noProof/>
        </w:rPr>
        <mc:AlternateContent>
          <mc:Choice Requires="wpg">
            <w:drawing>
              <wp:anchor distT="0" distB="0" distL="114300" distR="114300" simplePos="0" relativeHeight="251659264" behindDoc="0" locked="0" layoutInCell="1" allowOverlap="1" wp14:anchorId="0E86D68A" wp14:editId="65E12C92">
                <wp:simplePos x="0" y="0"/>
                <wp:positionH relativeFrom="page">
                  <wp:posOffset>5124722</wp:posOffset>
                </wp:positionH>
                <wp:positionV relativeFrom="page">
                  <wp:posOffset>326229</wp:posOffset>
                </wp:positionV>
                <wp:extent cx="1490772" cy="15244"/>
                <wp:effectExtent l="0" t="0" r="0" b="0"/>
                <wp:wrapTopAndBottom/>
                <wp:docPr id="111044" name="Group 111044"/>
                <wp:cNvGraphicFramePr/>
                <a:graphic xmlns:a="http://schemas.openxmlformats.org/drawingml/2006/main">
                  <a:graphicData uri="http://schemas.microsoft.com/office/word/2010/wordprocessingGroup">
                    <wpg:wgp>
                      <wpg:cNvGrpSpPr/>
                      <wpg:grpSpPr>
                        <a:xfrm>
                          <a:off x="0" y="0"/>
                          <a:ext cx="1490772" cy="15244"/>
                          <a:chOff x="0" y="0"/>
                          <a:chExt cx="1490772" cy="15244"/>
                        </a:xfrm>
                      </wpg:grpSpPr>
                      <wps:wsp>
                        <wps:cNvPr id="111043" name="Shape 111043"/>
                        <wps:cNvSpPr/>
                        <wps:spPr>
                          <a:xfrm>
                            <a:off x="0" y="0"/>
                            <a:ext cx="1490772" cy="15244"/>
                          </a:xfrm>
                          <a:custGeom>
                            <a:avLst/>
                            <a:gdLst/>
                            <a:ahLst/>
                            <a:cxnLst/>
                            <a:rect l="0" t="0" r="0" b="0"/>
                            <a:pathLst>
                              <a:path w="1490772" h="15244">
                                <a:moveTo>
                                  <a:pt x="0" y="7622"/>
                                </a:moveTo>
                                <a:lnTo>
                                  <a:pt x="149077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6C7D362C" id="Group 111044" o:spid="_x0000_s1026" style="position:absolute;margin-left:403.5pt;margin-top:25.7pt;width:117.4pt;height:1.2pt;z-index:251659264;mso-position-horizontal-relative:page;mso-position-vertical-relative:page" coordsize="1490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uhVgIAANYFAAAOAAAAZHJzL2Uyb0RvYy54bWykVMlu2zAQvRfoPxC611rixq1gO4em9aVo&#10;gyT9AJoiJQHcQNKW/fcdjharDpACiQ/ykJzlvTfkrO9OSpIjd741epPkiywhXDNTtbreJH+ef3z6&#10;khAfqK6oNJpvkjP3yd3244d1Z0temMbIijsCSbQvO7tJmhBsmaaeNVxRvzCWazgUxikaYOnqtHK0&#10;g+xKpkWW3aadcZV1hnHvYfe+P0y2mF8IzsJvITwPRG4SwBbw6/C7j990u6Zl7ahtWjbAoG9AoWir&#10;oeiU6p4GSg6ufZFKtcwZb0RYMKNSI0TLOHIANnl2xWbnzMEil7rsajvJBNJe6fTmtOzX8cGRtoLe&#10;5Xm2XCZEUwV9wtJk2AOROluX4Ltz9sk+uGGj7leR90k4Ff+BETmhvOdJXn4KhMFmvvyarVZFQhic&#10;5Z8LqIbyswZ69CKKNd9fjUvHomnENkHpLFwkf9HKv0+rp4Zaji3wkf9cq5tRK/TptbqJjCIE8J2E&#10;8qUHzd6n0sSWluzgw44blJsef/qAItbVaNFmtNhJj6aDl/DqG7A0xLiIMpqkm/WrGdsVT5U58meD&#10;fuHStNVtUUTugPPiIPXccWo/dH/m3jtBXCyLCSYosDknKzWiwotDGIVpISQN+OxUG2CMyFYB0iz+&#10;BixSQ8bYj74DaIWz5BG+1I9cwNWPNxOTeFfvv0lHjjQOi3/TgGuMEa2UU1T2n6jBOcZxHEXXkWwo&#10;2M8jeNUwocapBNynIKxsdJjiNcxSZDgjFM29qc74OpEzPANkj8MDlR0GXZxO8zV6Xcbx9i8AAAD/&#10;/wMAUEsDBBQABgAIAAAAIQAbwgn64AAAAAoBAAAPAAAAZHJzL2Rvd25yZXYueG1sTI/BTsMwDIbv&#10;SLxDZCRuLCnboCpNp2kCThMSGxLi5jVeW61xqiZru7cnO8HR9q/f35evJtuKgXrfONaQzBQI4tKZ&#10;hisNX/u3hxSED8gGW8ek4UIeVsXtTY6ZcSN/0rALlYgl7DPUUIfQZVL6siaLfuY64ng7ut5iiGNf&#10;SdPjGMttKx+VepIWG44fauxoU1N52p2thvcRx/U8eR22p+Pm8rNffnxvE9L6/m5av4AINIW/MFzx&#10;IzoUkengzmy8aDWk6jm6BA3LZAHiGlCLJMoc4maegixy+V+h+AUAAP//AwBQSwECLQAUAAYACAAA&#10;ACEAtoM4kv4AAADhAQAAEwAAAAAAAAAAAAAAAAAAAAAAW0NvbnRlbnRfVHlwZXNdLnhtbFBLAQIt&#10;ABQABgAIAAAAIQA4/SH/1gAAAJQBAAALAAAAAAAAAAAAAAAAAC8BAABfcmVscy8ucmVsc1BLAQIt&#10;ABQABgAIAAAAIQAWBUuhVgIAANYFAAAOAAAAAAAAAAAAAAAAAC4CAABkcnMvZTJvRG9jLnhtbFBL&#10;AQItABQABgAIAAAAIQAbwgn64AAAAAoBAAAPAAAAAAAAAAAAAAAAALAEAABkcnMvZG93bnJldi54&#10;bWxQSwUGAAAAAAQABADzAAAAvQUAAAAA&#10;">
                <v:shape id="Shape 111043" o:spid="_x0000_s1027" style="position:absolute;width:14907;height:152;visibility:visible;mso-wrap-style:square;v-text-anchor:top" coordsize="1490772,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NTxQAAAN8AAAAPAAAAZHJzL2Rvd25yZXYueG1sRE9da8Iw&#10;FH0f7D+EO9jbTKtjk2qUIbgNHA6rPvh2aa5tWHMTmszWf78MBns8nO/5crCtuFAXjGMF+SgDQVw5&#10;bbhWcNivH6YgQkTW2DomBVcKsFzc3syx0K7nHV3KWIsUwqFABU2MvpAyVA1ZDCPniRN3dp3FmGBX&#10;S91hn8JtK8dZ9iQtGk4NDXpaNVR9ld9WwY76D2O2z94Px8/N69upPEz8Sqn7u+FlBiLSEP/Ff+53&#10;nebnefY4gd8/CYBc/AAAAP//AwBQSwECLQAUAAYACAAAACEA2+H2y+4AAACFAQAAEwAAAAAAAAAA&#10;AAAAAAAAAAAAW0NvbnRlbnRfVHlwZXNdLnhtbFBLAQItABQABgAIAAAAIQBa9CxbvwAAABUBAAAL&#10;AAAAAAAAAAAAAAAAAB8BAABfcmVscy8ucmVsc1BLAQItABQABgAIAAAAIQDS0pNTxQAAAN8AAAAP&#10;AAAAAAAAAAAAAAAAAAcCAABkcnMvZG93bnJldi54bWxQSwUGAAAAAAMAAwC3AAAA+QIAAAAA&#10;" path="m,7622r1490772,e" filled="f" strokeweight=".42344mm">
                  <v:stroke miterlimit="1" joinstyle="miter"/>
                  <v:path arrowok="t" textboxrect="0,0,1490772,15244"/>
                </v:shape>
                <w10:wrap type="topAndBottom" anchorx="page" anchory="page"/>
              </v:group>
            </w:pict>
          </mc:Fallback>
        </mc:AlternateContent>
      </w:r>
      <w:r w:rsidRPr="009C5B46">
        <w:rPr>
          <w:rFonts w:ascii="Times New Roman" w:eastAsia="Times New Roman" w:hAnsi="Times New Roman" w:cs="Times New Roman"/>
        </w:rPr>
        <w:t>az Európai Parlament és a Tanács (EU) 2016. április 27. napján kiadott 2016/679 Rendelete (GDPR) (továbbiakban: Rendelet) a természetes személyeknek a személyes adatok kezelése tekintetében történő védelméről és az ilyen adatok szabad áramlásáról, valamint a 95/46/EK Rendelet hatályon kívül helyezéséről (általános adatvédelmi Rendelet),</w:t>
      </w:r>
    </w:p>
    <w:p w14:paraId="5331E68A" w14:textId="3523BEAB" w:rsidR="009C5B46" w:rsidRPr="009C5B46" w:rsidRDefault="009C5B46" w:rsidP="009C5B46">
      <w:pPr>
        <w:pStyle w:val="Listaszerbekezds"/>
        <w:numPr>
          <w:ilvl w:val="0"/>
          <w:numId w:val="31"/>
        </w:numPr>
        <w:spacing w:after="28" w:line="260" w:lineRule="auto"/>
        <w:ind w:right="14"/>
        <w:jc w:val="both"/>
        <w:rPr>
          <w:rFonts w:ascii="Times New Roman" w:eastAsia="Times New Roman" w:hAnsi="Times New Roman" w:cs="Times New Roman"/>
        </w:rPr>
      </w:pPr>
      <w:r w:rsidRPr="009C5B46">
        <w:rPr>
          <w:rFonts w:ascii="Times New Roman" w:eastAsia="Times New Roman" w:hAnsi="Times New Roman" w:cs="Times New Roman"/>
        </w:rPr>
        <w:t xml:space="preserve">az </w:t>
      </w:r>
      <w:proofErr w:type="gramStart"/>
      <w:r w:rsidRPr="009C5B46">
        <w:rPr>
          <w:rFonts w:ascii="Times New Roman" w:eastAsia="Times New Roman" w:hAnsi="Times New Roman" w:cs="Times New Roman"/>
        </w:rPr>
        <w:t>információs</w:t>
      </w:r>
      <w:proofErr w:type="gramEnd"/>
      <w:r w:rsidRPr="009C5B46">
        <w:rPr>
          <w:rFonts w:ascii="Times New Roman" w:eastAsia="Times New Roman" w:hAnsi="Times New Roman" w:cs="Times New Roman"/>
        </w:rPr>
        <w:t xml:space="preserve"> önrendelkezési jogról és az </w:t>
      </w:r>
      <w:proofErr w:type="spellStart"/>
      <w:r w:rsidRPr="009C5B46">
        <w:rPr>
          <w:rFonts w:ascii="Times New Roman" w:eastAsia="Times New Roman" w:hAnsi="Times New Roman" w:cs="Times New Roman"/>
        </w:rPr>
        <w:t>infonnációszabadságról</w:t>
      </w:r>
      <w:proofErr w:type="spellEnd"/>
      <w:r w:rsidRPr="009C5B46">
        <w:rPr>
          <w:rFonts w:ascii="Times New Roman" w:eastAsia="Times New Roman" w:hAnsi="Times New Roman" w:cs="Times New Roman"/>
        </w:rPr>
        <w:t xml:space="preserve"> szóló 2011. év CXII. törvény (továbbiakban: törvény), </w:t>
      </w:r>
    </w:p>
    <w:p w14:paraId="33600363" w14:textId="270E47E2" w:rsidR="009C5B46" w:rsidRPr="009C5B46" w:rsidRDefault="009C5B46" w:rsidP="009C5B46">
      <w:pPr>
        <w:pStyle w:val="Listaszerbekezds"/>
        <w:numPr>
          <w:ilvl w:val="0"/>
          <w:numId w:val="31"/>
        </w:numPr>
        <w:spacing w:after="28" w:line="260" w:lineRule="auto"/>
        <w:ind w:right="14"/>
        <w:jc w:val="both"/>
        <w:rPr>
          <w:rFonts w:ascii="Times New Roman" w:eastAsia="Times New Roman" w:hAnsi="Times New Roman" w:cs="Times New Roman"/>
        </w:rPr>
      </w:pPr>
      <w:r w:rsidRPr="009C5B46">
        <w:rPr>
          <w:rFonts w:ascii="Times New Roman" w:eastAsia="Times New Roman" w:hAnsi="Times New Roman" w:cs="Times New Roman"/>
        </w:rPr>
        <w:t xml:space="preserve">a szakképzésről szóló 2019.évi LXXX. törvény </w:t>
      </w:r>
    </w:p>
    <w:p w14:paraId="5534C37C" w14:textId="1608EB9B" w:rsidR="009C5B46" w:rsidRDefault="009C5B46" w:rsidP="009C5B46">
      <w:pPr>
        <w:pStyle w:val="Listaszerbekezds"/>
        <w:numPr>
          <w:ilvl w:val="0"/>
          <w:numId w:val="31"/>
        </w:numPr>
        <w:spacing w:after="28" w:line="260" w:lineRule="auto"/>
        <w:ind w:right="14"/>
        <w:jc w:val="both"/>
        <w:rPr>
          <w:noProof/>
        </w:rPr>
      </w:pPr>
      <w:r w:rsidRPr="009C5B46">
        <w:rPr>
          <w:rFonts w:ascii="Times New Roman" w:eastAsia="Times New Roman" w:hAnsi="Times New Roman" w:cs="Times New Roman"/>
        </w:rPr>
        <w:t xml:space="preserve">a szakképzés szóló törvény végrehajtásáról szóló 12/2020 (11.7.) Korm. rendelet </w:t>
      </w:r>
    </w:p>
    <w:p w14:paraId="279E2BBA" w14:textId="38A3DA8A" w:rsidR="009C5B46" w:rsidRPr="009C5B46" w:rsidRDefault="009C5B46" w:rsidP="009C5B46">
      <w:pPr>
        <w:pStyle w:val="Listaszerbekezds"/>
        <w:numPr>
          <w:ilvl w:val="0"/>
          <w:numId w:val="31"/>
        </w:numPr>
        <w:spacing w:after="28" w:line="260" w:lineRule="auto"/>
        <w:ind w:right="14"/>
        <w:jc w:val="both"/>
      </w:pPr>
      <w:r w:rsidRPr="009C5B46">
        <w:rPr>
          <w:rFonts w:ascii="Times New Roman" w:eastAsia="Times New Roman" w:hAnsi="Times New Roman" w:cs="Times New Roman"/>
        </w:rPr>
        <w:t xml:space="preserve">a 2018. évi LXXXX. törvény az oktatási nyilvántartásokról </w:t>
      </w:r>
    </w:p>
    <w:p w14:paraId="78AE9870" w14:textId="58363357" w:rsidR="009C5B46" w:rsidRPr="009C5B46" w:rsidRDefault="009C5B46" w:rsidP="009C5B46">
      <w:pPr>
        <w:pStyle w:val="Listaszerbekezds"/>
        <w:numPr>
          <w:ilvl w:val="0"/>
          <w:numId w:val="31"/>
        </w:numPr>
        <w:spacing w:after="28" w:line="260" w:lineRule="auto"/>
        <w:ind w:right="14"/>
        <w:jc w:val="both"/>
      </w:pPr>
      <w:r w:rsidRPr="009C5B46">
        <w:rPr>
          <w:rFonts w:ascii="Times New Roman" w:eastAsia="Times New Roman" w:hAnsi="Times New Roman" w:cs="Times New Roman"/>
        </w:rPr>
        <w:t xml:space="preserve">a felnőttképzésről szóló </w:t>
      </w:r>
      <w:proofErr w:type="gramStart"/>
      <w:r w:rsidRPr="009C5B46">
        <w:rPr>
          <w:rFonts w:ascii="Times New Roman" w:eastAsia="Times New Roman" w:hAnsi="Times New Roman" w:cs="Times New Roman"/>
        </w:rPr>
        <w:t>2013 .évi</w:t>
      </w:r>
      <w:proofErr w:type="gramEnd"/>
      <w:r w:rsidRPr="009C5B46">
        <w:rPr>
          <w:rFonts w:ascii="Times New Roman" w:eastAsia="Times New Roman" w:hAnsi="Times New Roman" w:cs="Times New Roman"/>
        </w:rPr>
        <w:t xml:space="preserve"> LXXVII. törvény</w:t>
      </w:r>
    </w:p>
    <w:p w14:paraId="7F4BF352" w14:textId="3FBF2E20" w:rsidR="009C5B46" w:rsidRPr="009C5B46" w:rsidRDefault="009C5B46" w:rsidP="009C5B46">
      <w:pPr>
        <w:pStyle w:val="Listaszerbekezds"/>
        <w:numPr>
          <w:ilvl w:val="0"/>
          <w:numId w:val="31"/>
        </w:numPr>
        <w:spacing w:after="28" w:line="260" w:lineRule="auto"/>
        <w:ind w:right="14"/>
        <w:jc w:val="both"/>
      </w:pPr>
      <w:r w:rsidRPr="009C5B46">
        <w:rPr>
          <w:rFonts w:ascii="Times New Roman" w:eastAsia="Times New Roman" w:hAnsi="Times New Roman" w:cs="Times New Roman"/>
        </w:rPr>
        <w:t>a számvitelről szóló 2000. évi C. törvény</w:t>
      </w:r>
    </w:p>
    <w:p w14:paraId="1FC28A8D" w14:textId="0C525222" w:rsidR="009C5B46" w:rsidRDefault="009C5B46" w:rsidP="009C5B46">
      <w:pPr>
        <w:pStyle w:val="Listaszerbekezds"/>
        <w:numPr>
          <w:ilvl w:val="0"/>
          <w:numId w:val="31"/>
        </w:numPr>
        <w:spacing w:after="4" w:line="260" w:lineRule="auto"/>
        <w:ind w:right="14"/>
        <w:jc w:val="both"/>
      </w:pPr>
      <w:r w:rsidRPr="009C5B46">
        <w:rPr>
          <w:rFonts w:ascii="Times New Roman" w:eastAsia="Times New Roman" w:hAnsi="Times New Roman" w:cs="Times New Roman"/>
        </w:rPr>
        <w:t>2</w:t>
      </w:r>
      <w:r w:rsidRPr="009C5B46">
        <w:rPr>
          <w:rFonts w:ascii="Times New Roman" w:eastAsia="Times New Roman" w:hAnsi="Times New Roman" w:cs="Times New Roman"/>
        </w:rPr>
        <w:t>013. évi V. törvény- a Polgári Törvénykönyvről (Ptk.);</w:t>
      </w:r>
    </w:p>
    <w:p w14:paraId="0549FD25" w14:textId="77777777" w:rsidR="009C5B46" w:rsidRDefault="009C5B46" w:rsidP="009C5B46">
      <w:pPr>
        <w:pStyle w:val="Listaszerbekezds"/>
        <w:numPr>
          <w:ilvl w:val="0"/>
          <w:numId w:val="31"/>
        </w:numPr>
        <w:spacing w:after="38" w:line="260" w:lineRule="auto"/>
        <w:ind w:right="14"/>
        <w:jc w:val="both"/>
      </w:pPr>
      <w:r w:rsidRPr="009C5B46">
        <w:rPr>
          <w:rFonts w:ascii="Times New Roman" w:eastAsia="Times New Roman" w:hAnsi="Times New Roman" w:cs="Times New Roman"/>
        </w:rPr>
        <w:t>A közfeladatot ellátó szervek iratkezelésének általános követelményeiről szóló 335/2005. (XII. 29.) Korm. rendelet;</w:t>
      </w:r>
    </w:p>
    <w:p w14:paraId="02813795" w14:textId="77777777" w:rsidR="009C5B46" w:rsidRDefault="009C5B46" w:rsidP="009C5B46">
      <w:pPr>
        <w:pStyle w:val="Listaszerbekezds"/>
        <w:numPr>
          <w:ilvl w:val="0"/>
          <w:numId w:val="31"/>
        </w:numPr>
        <w:spacing w:after="84" w:line="260" w:lineRule="auto"/>
        <w:ind w:right="14"/>
        <w:jc w:val="both"/>
      </w:pPr>
      <w:r w:rsidRPr="009C5B46">
        <w:rPr>
          <w:rFonts w:ascii="Times New Roman" w:eastAsia="Times New Roman" w:hAnsi="Times New Roman" w:cs="Times New Roman"/>
        </w:rPr>
        <w:t>2012. évi 1. törvény- a munka törvénykönyvéről (Mt.);</w:t>
      </w:r>
    </w:p>
    <w:p w14:paraId="323DF904" w14:textId="77777777" w:rsidR="009C5B46" w:rsidRDefault="009C5B46" w:rsidP="009C5B46">
      <w:pPr>
        <w:pStyle w:val="Listaszerbekezds"/>
        <w:numPr>
          <w:ilvl w:val="0"/>
          <w:numId w:val="31"/>
        </w:numPr>
        <w:spacing w:after="266" w:line="260" w:lineRule="auto"/>
        <w:ind w:right="14"/>
        <w:jc w:val="both"/>
      </w:pPr>
      <w:r w:rsidRPr="009C5B46">
        <w:rPr>
          <w:rFonts w:ascii="Times New Roman" w:eastAsia="Times New Roman" w:hAnsi="Times New Roman" w:cs="Times New Roman"/>
        </w:rPr>
        <w:t xml:space="preserve">a hivatalos statisztikáról szóló 1993. évi XLVI. törvény (a továbbiakban: </w:t>
      </w:r>
      <w:proofErr w:type="spellStart"/>
      <w:r w:rsidRPr="009C5B46">
        <w:rPr>
          <w:rFonts w:ascii="Times New Roman" w:eastAsia="Times New Roman" w:hAnsi="Times New Roman" w:cs="Times New Roman"/>
        </w:rPr>
        <w:t>Stt</w:t>
      </w:r>
      <w:proofErr w:type="spellEnd"/>
      <w:r w:rsidRPr="009C5B46">
        <w:rPr>
          <w:rFonts w:ascii="Times New Roman" w:eastAsia="Times New Roman" w:hAnsi="Times New Roman" w:cs="Times New Roman"/>
        </w:rPr>
        <w:t xml:space="preserve">.) </w:t>
      </w:r>
      <w:r>
        <w:rPr>
          <w:noProof/>
        </w:rPr>
        <w:drawing>
          <wp:inline distT="0" distB="0" distL="0" distR="0" wp14:anchorId="7A94D379" wp14:editId="3A81B647">
            <wp:extent cx="54875" cy="27439"/>
            <wp:effectExtent l="0" t="0" r="0" b="0"/>
            <wp:docPr id="9378" name="Picture 9378"/>
            <wp:cNvGraphicFramePr/>
            <a:graphic xmlns:a="http://schemas.openxmlformats.org/drawingml/2006/main">
              <a:graphicData uri="http://schemas.openxmlformats.org/drawingml/2006/picture">
                <pic:pic xmlns:pic="http://schemas.openxmlformats.org/drawingml/2006/picture">
                  <pic:nvPicPr>
                    <pic:cNvPr id="9378" name="Picture 9378"/>
                    <pic:cNvPicPr/>
                  </pic:nvPicPr>
                  <pic:blipFill>
                    <a:blip r:embed="rId10"/>
                    <a:stretch>
                      <a:fillRect/>
                    </a:stretch>
                  </pic:blipFill>
                  <pic:spPr>
                    <a:xfrm>
                      <a:off x="0" y="0"/>
                      <a:ext cx="54875" cy="27439"/>
                    </a:xfrm>
                    <a:prstGeom prst="rect">
                      <a:avLst/>
                    </a:prstGeom>
                  </pic:spPr>
                </pic:pic>
              </a:graphicData>
            </a:graphic>
          </wp:inline>
        </w:drawing>
      </w:r>
      <w:r w:rsidRPr="009C5B46">
        <w:rPr>
          <w:rFonts w:ascii="Times New Roman" w:eastAsia="Times New Roman" w:hAnsi="Times New Roman" w:cs="Times New Roman"/>
        </w:rPr>
        <w:t xml:space="preserve"> az érettségi vizsga vizsgaszabályzatának kiadásáról szóló 100/1997. (V1.13.) Korm. rendelet</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5FC170C4" w14:textId="0F0D93B3" w:rsidR="00CD4DAC" w:rsidRPr="00CD4DAC" w:rsidRDefault="009C5B46" w:rsidP="009A1A3B">
      <w:pPr>
        <w:spacing w:line="300" w:lineRule="atLeast"/>
        <w:jc w:val="both"/>
        <w:rPr>
          <w:rFonts w:ascii="Franklin Gothic Book" w:hAnsi="Franklin Gothic Book" w:cs="Calibri"/>
          <w:color w:val="222222"/>
          <w:sz w:val="20"/>
          <w:szCs w:val="20"/>
          <w:highlight w:val="yellow"/>
          <w:shd w:val="clear" w:color="auto" w:fill="FFFFFF"/>
        </w:rPr>
      </w:pPr>
      <w:r>
        <w:rPr>
          <w:rFonts w:ascii="Times New Roman" w:eastAsia="Times New Roman" w:hAnsi="Times New Roman" w:cs="Times New Roman"/>
        </w:rPr>
        <w:t>Az adatkezelő az adatkezelést jogi kötelezett</w:t>
      </w:r>
      <w:r>
        <w:rPr>
          <w:rFonts w:ascii="Times New Roman" w:eastAsia="Times New Roman" w:hAnsi="Times New Roman" w:cs="Times New Roman"/>
        </w:rPr>
        <w:t xml:space="preserve">ség teljesítése érdekében végzi. </w:t>
      </w: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0DAFD7FC" w14:textId="2D147163" w:rsidR="009C5B46" w:rsidRDefault="009C5B46" w:rsidP="009C5B46">
      <w:pPr>
        <w:spacing w:after="477" w:line="265" w:lineRule="auto"/>
      </w:pPr>
      <w:r>
        <w:rPr>
          <w:rFonts w:ascii="Times New Roman" w:eastAsia="Times New Roman" w:hAnsi="Times New Roman" w:cs="Times New Roman"/>
          <w:sz w:val="26"/>
        </w:rPr>
        <w:t>H</w:t>
      </w:r>
      <w:r>
        <w:rPr>
          <w:rFonts w:ascii="Times New Roman" w:eastAsia="Times New Roman" w:hAnsi="Times New Roman" w:cs="Times New Roman"/>
          <w:sz w:val="26"/>
        </w:rPr>
        <w:t>atá</w:t>
      </w:r>
      <w:r>
        <w:rPr>
          <w:rFonts w:ascii="Times New Roman" w:eastAsia="Times New Roman" w:hAnsi="Times New Roman" w:cs="Times New Roman"/>
          <w:sz w:val="26"/>
        </w:rPr>
        <w:t xml:space="preserve">rozatlan időtartamig, </w:t>
      </w:r>
      <w:proofErr w:type="spellStart"/>
      <w:r>
        <w:rPr>
          <w:rFonts w:ascii="Times New Roman" w:eastAsia="Times New Roman" w:hAnsi="Times New Roman" w:cs="Times New Roman"/>
          <w:sz w:val="26"/>
        </w:rPr>
        <w:t>illetve</w:t>
      </w:r>
      <w:r>
        <w:rPr>
          <w:rFonts w:ascii="Times New Roman" w:eastAsia="Times New Roman" w:hAnsi="Times New Roman" w:cs="Times New Roman"/>
          <w:sz w:val="26"/>
        </w:rPr>
        <w:t>visszavonásáig</w:t>
      </w:r>
      <w:proofErr w:type="spellEnd"/>
      <w:r>
        <w:rPr>
          <w:rFonts w:ascii="Times New Roman" w:eastAsia="Times New Roman" w:hAnsi="Times New Roman" w:cs="Times New Roman"/>
          <w:sz w:val="26"/>
        </w:rPr>
        <w:t xml:space="preserve"> hatályos.</w:t>
      </w:r>
    </w:p>
    <w:p w14:paraId="4B5595E1" w14:textId="77777777" w:rsidR="001C6972" w:rsidRPr="00CD4DAC" w:rsidRDefault="001C6972" w:rsidP="007A0EA7">
      <w:pPr>
        <w:pStyle w:val="NormlWeb"/>
        <w:spacing w:line="276" w:lineRule="auto"/>
        <w:rPr>
          <w:rFonts w:ascii="Franklin Gothic Book" w:hAnsi="Franklin Gothic Book"/>
          <w:sz w:val="20"/>
          <w:szCs w:val="20"/>
        </w:rPr>
      </w:pP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lastRenderedPageBreak/>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66804A8F" w14:textId="77777777" w:rsidR="009C5B46" w:rsidRPr="00CD4DAC" w:rsidRDefault="00F92D34" w:rsidP="009C5B46">
      <w:pPr>
        <w:spacing w:line="300" w:lineRule="atLeast"/>
        <w:jc w:val="both"/>
        <w:rPr>
          <w:rFonts w:ascii="Franklin Gothic Book" w:hAnsi="Franklin Gothic Book" w:cs="Calibri"/>
          <w:color w:val="222222"/>
          <w:sz w:val="20"/>
          <w:szCs w:val="20"/>
          <w:highlight w:val="yellow"/>
          <w:shd w:val="clear" w:color="auto" w:fill="FFFFFF"/>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r w:rsidR="009C5B46">
        <w:rPr>
          <w:rFonts w:ascii="Times New Roman" w:eastAsia="Times New Roman" w:hAnsi="Times New Roman" w:cs="Times New Roman"/>
        </w:rPr>
        <w:t xml:space="preserve">Az adatkezelő az adatkezelést jogi kötelezettség teljesítése érdekében végzi. </w:t>
      </w:r>
    </w:p>
    <w:p w14:paraId="7276DFF3" w14:textId="593878D4" w:rsidR="00AF71CA" w:rsidRPr="00CD4DAC" w:rsidRDefault="00AF71CA" w:rsidP="009C5B46">
      <w:pPr>
        <w:spacing w:line="300" w:lineRule="atLeast"/>
        <w:ind w:firstLine="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71380F26"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Az adataihoz a</w:t>
      </w:r>
      <w:r w:rsidR="007D339D">
        <w:rPr>
          <w:rFonts w:ascii="Franklin Gothic Book" w:hAnsi="Franklin Gothic Book" w:cs="Calibri"/>
          <w:sz w:val="20"/>
          <w:szCs w:val="20"/>
          <w:lang w:eastAsia="hu-HU"/>
        </w:rPr>
        <w:t xml:space="preserve">z Intézmény </w:t>
      </w:r>
      <w:r w:rsidRPr="00CD4DAC">
        <w:rPr>
          <w:rFonts w:ascii="Franklin Gothic Book" w:hAnsi="Franklin Gothic Book" w:cs="Calibri"/>
          <w:sz w:val="20"/>
          <w:szCs w:val="20"/>
          <w:lang w:eastAsia="hu-HU"/>
        </w:rPr>
        <w:t>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C3AF0E4"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A</w:t>
      </w:r>
      <w:r w:rsidR="007D339D">
        <w:rPr>
          <w:rFonts w:ascii="Franklin Gothic Book" w:hAnsi="Franklin Gothic Book" w:cs="Calibri"/>
          <w:sz w:val="20"/>
          <w:szCs w:val="20"/>
          <w:lang w:eastAsia="hu-HU"/>
        </w:rPr>
        <w:t xml:space="preserve">z Intézmény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00F76074"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BD5926D"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7D339D">
        <w:rPr>
          <w:rFonts w:ascii="Franklin Gothic Book" w:hAnsi="Franklin Gothic Book"/>
          <w:sz w:val="20"/>
          <w:szCs w:val="20"/>
        </w:rPr>
        <w:t xml:space="preserve">z Intézmény </w:t>
      </w:r>
      <w:r w:rsidRPr="00CD4DAC">
        <w:rPr>
          <w:rFonts w:ascii="Franklin Gothic Book" w:hAnsi="Franklin Gothic Book"/>
          <w:sz w:val="20"/>
          <w:szCs w:val="20"/>
        </w:rPr>
        <w:t xml:space="preserve">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5245A53A" w:rsidR="00257539" w:rsidRPr="005D5540" w:rsidRDefault="00F654AF" w:rsidP="00F654AF">
      <w:pPr>
        <w:pStyle w:val="NormlWeb"/>
        <w:jc w:val="both"/>
        <w:rPr>
          <w:rFonts w:ascii="Franklin Gothic Book" w:hAnsi="Franklin Gothic Book"/>
          <w:color w:val="FF0000"/>
          <w:sz w:val="20"/>
          <w:szCs w:val="20"/>
        </w:rPr>
      </w:pPr>
      <w:r w:rsidRPr="005F0610">
        <w:rPr>
          <w:rFonts w:ascii="Franklin Gothic Book" w:hAnsi="Franklin Gothic Book"/>
          <w:sz w:val="20"/>
          <w:szCs w:val="20"/>
        </w:rPr>
        <w:t>Tájékoztatjuk, hogy az adatkezelések során nem</w:t>
      </w:r>
      <w:r w:rsidR="005D5540" w:rsidRPr="005F0610">
        <w:rPr>
          <w:rFonts w:ascii="Franklin Gothic Book" w:hAnsi="Franklin Gothic Book"/>
          <w:sz w:val="20"/>
          <w:szCs w:val="20"/>
        </w:rPr>
        <w:t xml:space="preserve"> </w:t>
      </w:r>
      <w:r w:rsidRPr="005F0610">
        <w:rPr>
          <w:rFonts w:ascii="Franklin Gothic Book" w:hAnsi="Franklin Gothic Book"/>
          <w:sz w:val="20"/>
          <w:szCs w:val="20"/>
        </w:rPr>
        <w:t xml:space="preserve">történik személyes adatai alapján automatizált döntéshozatal, profilalkotás. </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 xml:space="preserve">Személyes adatai védelmének érdekében a papír alapú </w:t>
      </w:r>
      <w:proofErr w:type="gramStart"/>
      <w:r w:rsidRPr="00CD4DAC">
        <w:rPr>
          <w:rFonts w:ascii="Franklin Gothic Book" w:hAnsi="Franklin Gothic Book"/>
          <w:sz w:val="20"/>
          <w:szCs w:val="20"/>
        </w:rPr>
        <w:t>dokumentumokat</w:t>
      </w:r>
      <w:proofErr w:type="gramEnd"/>
      <w:r w:rsidRPr="00CD4DAC">
        <w:rPr>
          <w:rFonts w:ascii="Franklin Gothic Book" w:hAnsi="Franklin Gothic Book"/>
          <w:sz w:val="20"/>
          <w:szCs w:val="20"/>
        </w:rPr>
        <w:t xml:space="preserve">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lastRenderedPageBreak/>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w:t>
      </w:r>
      <w:proofErr w:type="gramStart"/>
      <w:r w:rsidRPr="00CD4DAC">
        <w:rPr>
          <w:rFonts w:ascii="Franklin Gothic Book" w:hAnsi="Franklin Gothic Book"/>
          <w:sz w:val="20"/>
          <w:szCs w:val="20"/>
        </w:rPr>
        <w:t>információt</w:t>
      </w:r>
      <w:proofErr w:type="gramEnd"/>
      <w:r w:rsidRPr="00CD4DAC">
        <w:rPr>
          <w:rFonts w:ascii="Franklin Gothic Book" w:hAnsi="Franklin Gothic Book"/>
          <w:sz w:val="20"/>
          <w:szCs w:val="20"/>
        </w:rPr>
        <w:t xml:space="preserve"> nyújt az érintett részére az adatkezelés körülményeiről, vagyis többek közt arról, hogy az érintett személyes adatait ki, milyen célból, milyen alapon és meddig kezeli, valamint, hogy érintettet az adatkezeléssel összefüggésben milyen jogok illetik meg, illetve</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 helyesbítéséhez való jog  (GDPR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   (GDPR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lastRenderedPageBreak/>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továbbá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47EC1" w14:textId="77777777" w:rsidR="006D2375" w:rsidRDefault="006D2375" w:rsidP="00100A50">
      <w:pPr>
        <w:spacing w:after="0" w:line="240" w:lineRule="auto"/>
      </w:pPr>
      <w:r>
        <w:separator/>
      </w:r>
    </w:p>
  </w:endnote>
  <w:endnote w:type="continuationSeparator" w:id="0">
    <w:p w14:paraId="0A53C977" w14:textId="77777777" w:rsidR="006D2375" w:rsidRDefault="006D2375"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9EDD9" w14:textId="77777777" w:rsidR="006D2375" w:rsidRDefault="006D2375" w:rsidP="00100A50">
      <w:pPr>
        <w:spacing w:after="0" w:line="240" w:lineRule="auto"/>
      </w:pPr>
      <w:r>
        <w:separator/>
      </w:r>
    </w:p>
  </w:footnote>
  <w:footnote w:type="continuationSeparator" w:id="0">
    <w:p w14:paraId="01C2F10D" w14:textId="77777777" w:rsidR="006D2375" w:rsidRDefault="006D2375"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12.75pt;height:5.25pt" coordsize="" o:spt="100" o:bullet="t" adj="0,,0" path="" stroked="f">
        <v:stroke joinstyle="miter"/>
        <v:imagedata r:id="rId1" o:title="image160"/>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71" o:spid="_x0000_i1030" type="#_x0000_t75" style="width:12.75pt;height:6.75pt;visibility:visible;mso-wrap-style:square" o:bullet="t">
        <v:imagedata r:id="rId2" o:title=""/>
      </v:shape>
    </w:pict>
  </w:numPicBullet>
  <w:numPicBullet w:numPicBulletId="2">
    <w:pict>
      <v:shape id="Picture 9372" o:spid="_x0000_i1031" type="#_x0000_t75" style="width:12.75pt;height:6.75pt;visibility:visible;mso-wrap-style:square" o:bullet="t">
        <v:imagedata r:id="rId3" o:title=""/>
      </v:shape>
    </w:pict>
  </w:numPicBullet>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0658B0"/>
    <w:multiLevelType w:val="hybridMultilevel"/>
    <w:tmpl w:val="4530C79A"/>
    <w:lvl w:ilvl="0" w:tplc="1BA2601A">
      <w:start w:val="1"/>
      <w:numFmt w:val="bullet"/>
      <w:lvlText w:val=""/>
      <w:lvlPicBulletId w:val="1"/>
      <w:lvlJc w:val="left"/>
      <w:pPr>
        <w:tabs>
          <w:tab w:val="num" w:pos="720"/>
        </w:tabs>
        <w:ind w:left="720" w:hanging="360"/>
      </w:pPr>
      <w:rPr>
        <w:rFonts w:ascii="Symbol" w:hAnsi="Symbol" w:hint="default"/>
      </w:rPr>
    </w:lvl>
    <w:lvl w:ilvl="1" w:tplc="39F0FE78" w:tentative="1">
      <w:start w:val="1"/>
      <w:numFmt w:val="bullet"/>
      <w:lvlText w:val=""/>
      <w:lvlJc w:val="left"/>
      <w:pPr>
        <w:tabs>
          <w:tab w:val="num" w:pos="1440"/>
        </w:tabs>
        <w:ind w:left="1440" w:hanging="360"/>
      </w:pPr>
      <w:rPr>
        <w:rFonts w:ascii="Symbol" w:hAnsi="Symbol" w:hint="default"/>
      </w:rPr>
    </w:lvl>
    <w:lvl w:ilvl="2" w:tplc="DBD4D29E" w:tentative="1">
      <w:start w:val="1"/>
      <w:numFmt w:val="bullet"/>
      <w:lvlText w:val=""/>
      <w:lvlJc w:val="left"/>
      <w:pPr>
        <w:tabs>
          <w:tab w:val="num" w:pos="2160"/>
        </w:tabs>
        <w:ind w:left="2160" w:hanging="360"/>
      </w:pPr>
      <w:rPr>
        <w:rFonts w:ascii="Symbol" w:hAnsi="Symbol" w:hint="default"/>
      </w:rPr>
    </w:lvl>
    <w:lvl w:ilvl="3" w:tplc="B5A888E8" w:tentative="1">
      <w:start w:val="1"/>
      <w:numFmt w:val="bullet"/>
      <w:lvlText w:val=""/>
      <w:lvlJc w:val="left"/>
      <w:pPr>
        <w:tabs>
          <w:tab w:val="num" w:pos="2880"/>
        </w:tabs>
        <w:ind w:left="2880" w:hanging="360"/>
      </w:pPr>
      <w:rPr>
        <w:rFonts w:ascii="Symbol" w:hAnsi="Symbol" w:hint="default"/>
      </w:rPr>
    </w:lvl>
    <w:lvl w:ilvl="4" w:tplc="BE66D608" w:tentative="1">
      <w:start w:val="1"/>
      <w:numFmt w:val="bullet"/>
      <w:lvlText w:val=""/>
      <w:lvlJc w:val="left"/>
      <w:pPr>
        <w:tabs>
          <w:tab w:val="num" w:pos="3600"/>
        </w:tabs>
        <w:ind w:left="3600" w:hanging="360"/>
      </w:pPr>
      <w:rPr>
        <w:rFonts w:ascii="Symbol" w:hAnsi="Symbol" w:hint="default"/>
      </w:rPr>
    </w:lvl>
    <w:lvl w:ilvl="5" w:tplc="887C6FDE" w:tentative="1">
      <w:start w:val="1"/>
      <w:numFmt w:val="bullet"/>
      <w:lvlText w:val=""/>
      <w:lvlJc w:val="left"/>
      <w:pPr>
        <w:tabs>
          <w:tab w:val="num" w:pos="4320"/>
        </w:tabs>
        <w:ind w:left="4320" w:hanging="360"/>
      </w:pPr>
      <w:rPr>
        <w:rFonts w:ascii="Symbol" w:hAnsi="Symbol" w:hint="default"/>
      </w:rPr>
    </w:lvl>
    <w:lvl w:ilvl="6" w:tplc="1ABE69A4" w:tentative="1">
      <w:start w:val="1"/>
      <w:numFmt w:val="bullet"/>
      <w:lvlText w:val=""/>
      <w:lvlJc w:val="left"/>
      <w:pPr>
        <w:tabs>
          <w:tab w:val="num" w:pos="5040"/>
        </w:tabs>
        <w:ind w:left="5040" w:hanging="360"/>
      </w:pPr>
      <w:rPr>
        <w:rFonts w:ascii="Symbol" w:hAnsi="Symbol" w:hint="default"/>
      </w:rPr>
    </w:lvl>
    <w:lvl w:ilvl="7" w:tplc="0F1CFD64" w:tentative="1">
      <w:start w:val="1"/>
      <w:numFmt w:val="bullet"/>
      <w:lvlText w:val=""/>
      <w:lvlJc w:val="left"/>
      <w:pPr>
        <w:tabs>
          <w:tab w:val="num" w:pos="5760"/>
        </w:tabs>
        <w:ind w:left="5760" w:hanging="360"/>
      </w:pPr>
      <w:rPr>
        <w:rFonts w:ascii="Symbol" w:hAnsi="Symbol" w:hint="default"/>
      </w:rPr>
    </w:lvl>
    <w:lvl w:ilvl="8" w:tplc="70DE8C2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9EE7930"/>
    <w:multiLevelType w:val="hybridMultilevel"/>
    <w:tmpl w:val="7EF02F4A"/>
    <w:lvl w:ilvl="0" w:tplc="8A3A7A4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 w15:restartNumberingAfterBreak="0">
    <w:nsid w:val="25347F93"/>
    <w:multiLevelType w:val="hybridMultilevel"/>
    <w:tmpl w:val="E542C038"/>
    <w:lvl w:ilvl="0" w:tplc="B7CA64EA">
      <w:start w:val="1"/>
      <w:numFmt w:val="bullet"/>
      <w:lvlText w:val=""/>
      <w:lvlPicBulletId w:val="2"/>
      <w:lvlJc w:val="left"/>
      <w:pPr>
        <w:tabs>
          <w:tab w:val="num" w:pos="720"/>
        </w:tabs>
        <w:ind w:left="720" w:hanging="360"/>
      </w:pPr>
      <w:rPr>
        <w:rFonts w:ascii="Symbol" w:hAnsi="Symbol" w:hint="default"/>
      </w:rPr>
    </w:lvl>
    <w:lvl w:ilvl="1" w:tplc="E2F46174" w:tentative="1">
      <w:start w:val="1"/>
      <w:numFmt w:val="bullet"/>
      <w:lvlText w:val=""/>
      <w:lvlJc w:val="left"/>
      <w:pPr>
        <w:tabs>
          <w:tab w:val="num" w:pos="1440"/>
        </w:tabs>
        <w:ind w:left="1440" w:hanging="360"/>
      </w:pPr>
      <w:rPr>
        <w:rFonts w:ascii="Symbol" w:hAnsi="Symbol" w:hint="default"/>
      </w:rPr>
    </w:lvl>
    <w:lvl w:ilvl="2" w:tplc="32684BBE" w:tentative="1">
      <w:start w:val="1"/>
      <w:numFmt w:val="bullet"/>
      <w:lvlText w:val=""/>
      <w:lvlJc w:val="left"/>
      <w:pPr>
        <w:tabs>
          <w:tab w:val="num" w:pos="2160"/>
        </w:tabs>
        <w:ind w:left="2160" w:hanging="360"/>
      </w:pPr>
      <w:rPr>
        <w:rFonts w:ascii="Symbol" w:hAnsi="Symbol" w:hint="default"/>
      </w:rPr>
    </w:lvl>
    <w:lvl w:ilvl="3" w:tplc="22D830CE" w:tentative="1">
      <w:start w:val="1"/>
      <w:numFmt w:val="bullet"/>
      <w:lvlText w:val=""/>
      <w:lvlJc w:val="left"/>
      <w:pPr>
        <w:tabs>
          <w:tab w:val="num" w:pos="2880"/>
        </w:tabs>
        <w:ind w:left="2880" w:hanging="360"/>
      </w:pPr>
      <w:rPr>
        <w:rFonts w:ascii="Symbol" w:hAnsi="Symbol" w:hint="default"/>
      </w:rPr>
    </w:lvl>
    <w:lvl w:ilvl="4" w:tplc="A048641A" w:tentative="1">
      <w:start w:val="1"/>
      <w:numFmt w:val="bullet"/>
      <w:lvlText w:val=""/>
      <w:lvlJc w:val="left"/>
      <w:pPr>
        <w:tabs>
          <w:tab w:val="num" w:pos="3600"/>
        </w:tabs>
        <w:ind w:left="3600" w:hanging="360"/>
      </w:pPr>
      <w:rPr>
        <w:rFonts w:ascii="Symbol" w:hAnsi="Symbol" w:hint="default"/>
      </w:rPr>
    </w:lvl>
    <w:lvl w:ilvl="5" w:tplc="C42AF208" w:tentative="1">
      <w:start w:val="1"/>
      <w:numFmt w:val="bullet"/>
      <w:lvlText w:val=""/>
      <w:lvlJc w:val="left"/>
      <w:pPr>
        <w:tabs>
          <w:tab w:val="num" w:pos="4320"/>
        </w:tabs>
        <w:ind w:left="4320" w:hanging="360"/>
      </w:pPr>
      <w:rPr>
        <w:rFonts w:ascii="Symbol" w:hAnsi="Symbol" w:hint="default"/>
      </w:rPr>
    </w:lvl>
    <w:lvl w:ilvl="6" w:tplc="D8B29FDE" w:tentative="1">
      <w:start w:val="1"/>
      <w:numFmt w:val="bullet"/>
      <w:lvlText w:val=""/>
      <w:lvlJc w:val="left"/>
      <w:pPr>
        <w:tabs>
          <w:tab w:val="num" w:pos="5040"/>
        </w:tabs>
        <w:ind w:left="5040" w:hanging="360"/>
      </w:pPr>
      <w:rPr>
        <w:rFonts w:ascii="Symbol" w:hAnsi="Symbol" w:hint="default"/>
      </w:rPr>
    </w:lvl>
    <w:lvl w:ilvl="7" w:tplc="A388132A" w:tentative="1">
      <w:start w:val="1"/>
      <w:numFmt w:val="bullet"/>
      <w:lvlText w:val=""/>
      <w:lvlJc w:val="left"/>
      <w:pPr>
        <w:tabs>
          <w:tab w:val="num" w:pos="5760"/>
        </w:tabs>
        <w:ind w:left="5760" w:hanging="360"/>
      </w:pPr>
      <w:rPr>
        <w:rFonts w:ascii="Symbol" w:hAnsi="Symbol" w:hint="default"/>
      </w:rPr>
    </w:lvl>
    <w:lvl w:ilvl="8" w:tplc="7F7AFB3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70E083E"/>
    <w:multiLevelType w:val="hybridMultilevel"/>
    <w:tmpl w:val="C9DA5C52"/>
    <w:lvl w:ilvl="0" w:tplc="22321A28">
      <w:start w:val="1"/>
      <w:numFmt w:val="bullet"/>
      <w:lvlText w:val="•"/>
      <w:lvlPicBulletId w:val="0"/>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CEAE4">
      <w:start w:val="1"/>
      <w:numFmt w:val="bullet"/>
      <w:lvlText w:val="o"/>
      <w:lvlJc w:val="left"/>
      <w:pPr>
        <w:ind w:left="1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A9BDA">
      <w:start w:val="1"/>
      <w:numFmt w:val="bullet"/>
      <w:lvlText w:val="▪"/>
      <w:lvlJc w:val="left"/>
      <w:pPr>
        <w:ind w:left="2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21F00">
      <w:start w:val="1"/>
      <w:numFmt w:val="bullet"/>
      <w:lvlText w:val="•"/>
      <w:lvlJc w:val="left"/>
      <w:pPr>
        <w:ind w:left="2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EF26E">
      <w:start w:val="1"/>
      <w:numFmt w:val="bullet"/>
      <w:lvlText w:val="o"/>
      <w:lvlJc w:val="left"/>
      <w:pPr>
        <w:ind w:left="3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2D26A">
      <w:start w:val="1"/>
      <w:numFmt w:val="bullet"/>
      <w:lvlText w:val="▪"/>
      <w:lvlJc w:val="left"/>
      <w:pPr>
        <w:ind w:left="4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8A286">
      <w:start w:val="1"/>
      <w:numFmt w:val="bullet"/>
      <w:lvlText w:val="•"/>
      <w:lvlJc w:val="left"/>
      <w:pPr>
        <w:ind w:left="4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07EC4">
      <w:start w:val="1"/>
      <w:numFmt w:val="bullet"/>
      <w:lvlText w:val="o"/>
      <w:lvlJc w:val="left"/>
      <w:pPr>
        <w:ind w:left="5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27ECE">
      <w:start w:val="1"/>
      <w:numFmt w:val="bullet"/>
      <w:lvlText w:val="▪"/>
      <w:lvlJc w:val="left"/>
      <w:pPr>
        <w:ind w:left="6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7"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8"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0"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3"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63DC47BE"/>
    <w:multiLevelType w:val="hybridMultilevel"/>
    <w:tmpl w:val="16622DA8"/>
    <w:lvl w:ilvl="0" w:tplc="B7CA64EA">
      <w:start w:val="1"/>
      <w:numFmt w:val="bullet"/>
      <w:lvlText w:val=""/>
      <w:lvlPicBulletId w:val="2"/>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E71467"/>
    <w:multiLevelType w:val="hybridMultilevel"/>
    <w:tmpl w:val="27066922"/>
    <w:lvl w:ilvl="0" w:tplc="C7D6F8B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9"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5"/>
  </w:num>
  <w:num w:numId="3">
    <w:abstractNumId w:val="11"/>
  </w:num>
  <w:num w:numId="4">
    <w:abstractNumId w:val="6"/>
  </w:num>
  <w:num w:numId="5">
    <w:abstractNumId w:val="17"/>
  </w:num>
  <w:num w:numId="6">
    <w:abstractNumId w:val="16"/>
  </w:num>
  <w:num w:numId="7">
    <w:abstractNumId w:val="5"/>
  </w:num>
  <w:num w:numId="8">
    <w:abstractNumId w:val="2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3"/>
  </w:num>
  <w:num w:numId="13">
    <w:abstractNumId w:val="14"/>
  </w:num>
  <w:num w:numId="14">
    <w:abstractNumId w:val="19"/>
  </w:num>
  <w:num w:numId="15">
    <w:abstractNumId w:val="27"/>
  </w:num>
  <w:num w:numId="16">
    <w:abstractNumId w:val="21"/>
  </w:num>
  <w:num w:numId="17">
    <w:abstractNumId w:val="3"/>
  </w:num>
  <w:num w:numId="18">
    <w:abstractNumId w:val="30"/>
  </w:num>
  <w:num w:numId="19">
    <w:abstractNumId w:val="24"/>
  </w:num>
  <w:num w:numId="20">
    <w:abstractNumId w:val="23"/>
  </w:num>
  <w:num w:numId="21">
    <w:abstractNumId w:val="18"/>
  </w:num>
  <w:num w:numId="22">
    <w:abstractNumId w:val="28"/>
  </w:num>
  <w:num w:numId="23">
    <w:abstractNumId w:val="22"/>
  </w:num>
  <w:num w:numId="24">
    <w:abstractNumId w:val="20"/>
  </w:num>
  <w:num w:numId="25">
    <w:abstractNumId w:val="9"/>
  </w:num>
  <w:num w:numId="26">
    <w:abstractNumId w:val="12"/>
  </w:num>
  <w:num w:numId="27">
    <w:abstractNumId w:val="7"/>
  </w:num>
  <w:num w:numId="28">
    <w:abstractNumId w:val="26"/>
  </w:num>
  <w:num w:numId="29">
    <w:abstractNumId w:val="10"/>
  </w:num>
  <w:num w:numId="30">
    <w:abstractNumId w:val="2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80"/>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0610"/>
    <w:rsid w:val="005F3ED3"/>
    <w:rsid w:val="0060307E"/>
    <w:rsid w:val="00614F0C"/>
    <w:rsid w:val="006356F1"/>
    <w:rsid w:val="00647D30"/>
    <w:rsid w:val="00656B0D"/>
    <w:rsid w:val="00657CEC"/>
    <w:rsid w:val="0067552C"/>
    <w:rsid w:val="006B33C8"/>
    <w:rsid w:val="006B490A"/>
    <w:rsid w:val="006B77EC"/>
    <w:rsid w:val="006D2375"/>
    <w:rsid w:val="006E20F7"/>
    <w:rsid w:val="006F0EAC"/>
    <w:rsid w:val="00744A71"/>
    <w:rsid w:val="007A0EA7"/>
    <w:rsid w:val="007A3A93"/>
    <w:rsid w:val="007B3647"/>
    <w:rsid w:val="007D339D"/>
    <w:rsid w:val="007F5FAE"/>
    <w:rsid w:val="008368C7"/>
    <w:rsid w:val="008409FF"/>
    <w:rsid w:val="0087321D"/>
    <w:rsid w:val="00883B14"/>
    <w:rsid w:val="008979D8"/>
    <w:rsid w:val="008B5C82"/>
    <w:rsid w:val="008D3103"/>
    <w:rsid w:val="00950FE7"/>
    <w:rsid w:val="00971649"/>
    <w:rsid w:val="00995E27"/>
    <w:rsid w:val="009A1A3B"/>
    <w:rsid w:val="009B09EE"/>
    <w:rsid w:val="009C5B46"/>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75B4"/>
    <w:rsid w:val="00DE7F81"/>
    <w:rsid w:val="00E5546B"/>
    <w:rsid w:val="00E7505F"/>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da@ikk.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mailto:varsoci.karoly@trefortszki.h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9F3D0-15A3-4D6D-B246-D9241D90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1735</Words>
  <Characters>11979</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Szigeti Andrea</cp:lastModifiedBy>
  <cp:revision>2</cp:revision>
  <cp:lastPrinted>2021-02-03T12:34:00Z</cp:lastPrinted>
  <dcterms:created xsi:type="dcterms:W3CDTF">2022-11-29T09:47:00Z</dcterms:created>
  <dcterms:modified xsi:type="dcterms:W3CDTF">2022-11-29T09:47:00Z</dcterms:modified>
</cp:coreProperties>
</file>